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27.4.2022 keskiviikko</w:t>
      </w:r>
    </w:p>
    <w:p>
      <w:pPr>
        <w:pStyle w:val="Heading1"/>
      </w:pPr>
      <w:r>
        <w:t>27.4.2022 keskiviikko</w:t>
      </w:r>
    </w:p>
    <w:p>
      <w:pPr>
        <w:pStyle w:val="Heading2"/>
      </w:pPr>
      <w:r>
        <w:t>17:00-18:00 Luento: Kun huoli herää - kuinka toimin?</w:t>
      </w:r>
    </w:p>
    <w:p>
      <w:r>
        <w:t xml:space="preserve">Tiedätkö kuinka toimia, kun huoli läheisestäsi herää?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