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15.5.2023 maanantai</w:t>
      </w:r>
    </w:p>
    <w:p>
      <w:pPr>
        <w:pStyle w:val="Heading1"/>
      </w:pPr>
      <w:r>
        <w:t>15.5.2023 maanantai</w:t>
      </w:r>
    </w:p>
    <w:p>
      <w:pPr>
        <w:pStyle w:val="Heading2"/>
      </w:pPr>
      <w:r>
        <w:t>14:30-17:00 Eväitä kehittämiseen! - rahoitusinfo</w:t>
      </w:r>
    </w:p>
    <w:p>
      <w:r>
        <w:t>Infoa maaseuturahaston kauden 2023-2027 rahoitusmahdollisuukista.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